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8868ED" w:rsidRPr="00E752AE" w:rsidTr="002972A5">
        <w:trPr>
          <w:cantSplit/>
          <w:trHeight w:hRule="exact" w:val="284"/>
          <w:tblHeader/>
        </w:trPr>
        <w:tc>
          <w:tcPr>
            <w:tcW w:w="1216" w:type="dxa"/>
            <w:vMerge w:val="restart"/>
          </w:tcPr>
          <w:p w:rsidR="008868ED" w:rsidRDefault="008868ED" w:rsidP="002972A5">
            <w:pPr>
              <w:pStyle w:val="Zawartotabeli"/>
              <w:snapToGrid w:val="0"/>
              <w:rPr>
                <w:color w:val="333366"/>
                <w:lang w:val="pl-PL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8868ED" w:rsidRPr="00E752AE" w:rsidRDefault="008868ED" w:rsidP="002972A5">
            <w:pPr>
              <w:snapToGrid w:val="0"/>
              <w:rPr>
                <w:rFonts w:ascii="Nimbus Sans L" w:hAnsi="Nimbus Sans L"/>
                <w:b/>
                <w:sz w:val="20"/>
                <w:szCs w:val="20"/>
              </w:rPr>
            </w:pPr>
            <w:r w:rsidRPr="00E752AE">
              <w:rPr>
                <w:rFonts w:ascii="Nimbus Sans L" w:hAnsi="Nimbus Sans L"/>
                <w:b/>
                <w:sz w:val="20"/>
                <w:szCs w:val="20"/>
              </w:rPr>
              <w:t xml:space="preserve">OKRĘG  MAZOWIECKI  POLSKIEGO ZWIĄZKU WĘDKARSKIEGO W </w:t>
            </w:r>
            <w:r>
              <w:rPr>
                <w:rFonts w:ascii="Nimbus Sans L" w:hAnsi="Nimbus Sans L"/>
                <w:b/>
                <w:sz w:val="20"/>
                <w:szCs w:val="20"/>
              </w:rPr>
              <w:t xml:space="preserve">  </w:t>
            </w:r>
            <w:r w:rsidRPr="00E752AE">
              <w:rPr>
                <w:rFonts w:ascii="Nimbus Sans L" w:hAnsi="Nimbus Sans L"/>
                <w:b/>
                <w:sz w:val="20"/>
                <w:szCs w:val="20"/>
              </w:rPr>
              <w:t>WARSZAWIE</w:t>
            </w:r>
          </w:p>
        </w:tc>
      </w:tr>
      <w:tr w:rsidR="008868ED" w:rsidTr="002972A5">
        <w:trPr>
          <w:cantSplit/>
          <w:trHeight w:hRule="exact" w:val="250"/>
        </w:trPr>
        <w:tc>
          <w:tcPr>
            <w:tcW w:w="1216" w:type="dxa"/>
            <w:vMerge/>
          </w:tcPr>
          <w:p w:rsidR="008868ED" w:rsidRDefault="008868ED" w:rsidP="002972A5">
            <w:pPr>
              <w:snapToGrid w:val="0"/>
            </w:pPr>
          </w:p>
        </w:tc>
        <w:tc>
          <w:tcPr>
            <w:tcW w:w="8421" w:type="dxa"/>
          </w:tcPr>
          <w:p w:rsidR="008868ED" w:rsidRPr="0032208E" w:rsidRDefault="008868ED" w:rsidP="002972A5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8868ED" w:rsidTr="002972A5">
        <w:trPr>
          <w:cantSplit/>
          <w:trHeight w:hRule="exact" w:val="250"/>
        </w:trPr>
        <w:tc>
          <w:tcPr>
            <w:tcW w:w="1216" w:type="dxa"/>
            <w:vMerge/>
          </w:tcPr>
          <w:p w:rsidR="008868ED" w:rsidRDefault="008868ED" w:rsidP="002972A5">
            <w:pPr>
              <w:snapToGrid w:val="0"/>
            </w:pPr>
          </w:p>
        </w:tc>
        <w:tc>
          <w:tcPr>
            <w:tcW w:w="8421" w:type="dxa"/>
          </w:tcPr>
          <w:p w:rsidR="008868ED" w:rsidRDefault="008868ED" w:rsidP="002972A5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Regon 011508827 NIP 527-10-20-661 konto: 11 1090 2574 0000 0006 4400 0281</w:t>
            </w:r>
          </w:p>
        </w:tc>
      </w:tr>
      <w:tr w:rsidR="008868ED" w:rsidTr="002972A5">
        <w:trPr>
          <w:cantSplit/>
        </w:trPr>
        <w:tc>
          <w:tcPr>
            <w:tcW w:w="1216" w:type="dxa"/>
            <w:vMerge/>
          </w:tcPr>
          <w:p w:rsidR="008868ED" w:rsidRDefault="008868ED" w:rsidP="002972A5">
            <w:pPr>
              <w:snapToGrid w:val="0"/>
            </w:pPr>
          </w:p>
        </w:tc>
        <w:tc>
          <w:tcPr>
            <w:tcW w:w="8421" w:type="dxa"/>
          </w:tcPr>
          <w:p w:rsidR="008868ED" w:rsidRDefault="008868ED" w:rsidP="002972A5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8868ED" w:rsidTr="002972A5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8868ED" w:rsidRDefault="008868ED" w:rsidP="002972A5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8868ED" w:rsidRDefault="008868ED" w:rsidP="008868ED">
      <w:pPr>
        <w:jc w:val="center"/>
        <w:rPr>
          <w:rFonts w:ascii="Nimbus Sans L" w:hAnsi="Nimbus Sans L" w:cs="Arial"/>
          <w:b/>
          <w:sz w:val="22"/>
          <w:szCs w:val="22"/>
        </w:rPr>
      </w:pPr>
    </w:p>
    <w:p w:rsidR="008868ED" w:rsidRDefault="008868ED" w:rsidP="0043260A">
      <w:pPr>
        <w:jc w:val="right"/>
        <w:rPr>
          <w:rFonts w:ascii="Nimbus Sans L" w:hAnsi="Nimbus Sans L" w:cs="Arial"/>
          <w:sz w:val="22"/>
          <w:szCs w:val="22"/>
        </w:rPr>
      </w:pPr>
      <w:r>
        <w:rPr>
          <w:rFonts w:ascii="Nimbus Sans L" w:hAnsi="Nimbus Sans L" w:cs="Arial"/>
          <w:sz w:val="22"/>
          <w:szCs w:val="22"/>
        </w:rPr>
        <w:t>Warszawa 13.04</w:t>
      </w:r>
      <w:r>
        <w:rPr>
          <w:rFonts w:ascii="Nimbus Sans L" w:hAnsi="Nimbus Sans L" w:cs="Arial"/>
          <w:sz w:val="22"/>
          <w:szCs w:val="22"/>
        </w:rPr>
        <w:t>.2016</w:t>
      </w:r>
      <w:r w:rsidR="0043260A">
        <w:rPr>
          <w:rFonts w:ascii="Nimbus Sans L" w:hAnsi="Nimbus Sans L" w:cs="Arial"/>
          <w:sz w:val="22"/>
          <w:szCs w:val="22"/>
        </w:rPr>
        <w:t xml:space="preserve"> r. </w:t>
      </w:r>
    </w:p>
    <w:p w:rsidR="008868ED" w:rsidRDefault="008868ED" w:rsidP="008868ED">
      <w:pPr>
        <w:jc w:val="center"/>
        <w:rPr>
          <w:rFonts w:ascii="Nimbus Sans L" w:hAnsi="Nimbus Sans L" w:cs="Arial"/>
        </w:rPr>
      </w:pPr>
    </w:p>
    <w:p w:rsidR="008868ED" w:rsidRPr="0043260A" w:rsidRDefault="008868ED" w:rsidP="0043260A">
      <w:pPr>
        <w:jc w:val="center"/>
        <w:rPr>
          <w:rFonts w:ascii="Nimbus Sans L" w:hAnsi="Nimbus Sans L" w:cs="Arial"/>
          <w:b/>
          <w:sz w:val="28"/>
          <w:szCs w:val="28"/>
        </w:rPr>
      </w:pPr>
      <w:r>
        <w:rPr>
          <w:rFonts w:ascii="Nimbus Sans L" w:hAnsi="Nimbus Sans L" w:cs="Arial"/>
          <w:b/>
          <w:sz w:val="28"/>
          <w:szCs w:val="28"/>
        </w:rPr>
        <w:t xml:space="preserve">KOMUNIKAT </w:t>
      </w:r>
      <w:r>
        <w:rPr>
          <w:rFonts w:ascii="Nimbus Sans L" w:hAnsi="Nimbus Sans L" w:cs="Arial"/>
          <w:b/>
          <w:sz w:val="28"/>
          <w:szCs w:val="28"/>
        </w:rPr>
        <w:t>nr 2</w:t>
      </w:r>
    </w:p>
    <w:p w:rsidR="008868ED" w:rsidRPr="0043260A" w:rsidRDefault="008868ED" w:rsidP="0043260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 xml:space="preserve"> Zawody Spławikowe do Mistrzostw Okręgu i cyklu Grand Prix  2016</w:t>
      </w:r>
    </w:p>
    <w:p w:rsidR="008868ED" w:rsidRPr="0043260A" w:rsidRDefault="008868ED" w:rsidP="00054648">
      <w:pPr>
        <w:pStyle w:val="Tekstpodstawowywcity"/>
        <w:ind w:left="0"/>
        <w:jc w:val="both"/>
      </w:pPr>
      <w:r w:rsidRPr="0043260A">
        <w:rPr>
          <w:color w:val="000000"/>
        </w:rPr>
        <w:t xml:space="preserve">W związku z </w:t>
      </w:r>
      <w:r w:rsidR="00867ABE" w:rsidRPr="0043260A">
        <w:rPr>
          <w:color w:val="000000"/>
        </w:rPr>
        <w:t>ograniczonym</w:t>
      </w:r>
      <w:r w:rsidRPr="0043260A">
        <w:rPr>
          <w:color w:val="000000"/>
        </w:rPr>
        <w:t xml:space="preserve"> </w:t>
      </w:r>
      <w:r w:rsidR="00867ABE" w:rsidRPr="0043260A">
        <w:rPr>
          <w:color w:val="000000"/>
        </w:rPr>
        <w:t>częściowym dostępem</w:t>
      </w:r>
      <w:r w:rsidRPr="0043260A">
        <w:rPr>
          <w:color w:val="000000"/>
        </w:rPr>
        <w:t xml:space="preserve"> dojazdu do </w:t>
      </w:r>
      <w:r w:rsidR="00867ABE" w:rsidRPr="0043260A">
        <w:rPr>
          <w:color w:val="000000"/>
        </w:rPr>
        <w:t xml:space="preserve">niektórych </w:t>
      </w:r>
      <w:r w:rsidRPr="0043260A">
        <w:rPr>
          <w:color w:val="000000"/>
        </w:rPr>
        <w:t xml:space="preserve">stanowisk na zbiorniku Wykrot </w:t>
      </w:r>
      <w:r w:rsidR="0043260A" w:rsidRPr="0043260A">
        <w:rPr>
          <w:color w:val="000000"/>
        </w:rPr>
        <w:t xml:space="preserve">(plaża, chodniki) </w:t>
      </w:r>
      <w:r w:rsidR="00867ABE" w:rsidRPr="0043260A">
        <w:rPr>
          <w:color w:val="000000"/>
        </w:rPr>
        <w:t xml:space="preserve">informujemy, że </w:t>
      </w:r>
      <w:r w:rsidR="00867ABE" w:rsidRPr="0043260A">
        <w:rPr>
          <w:rFonts w:cs="Times New Roman"/>
        </w:rPr>
        <w:t xml:space="preserve">może zaistnieć potrzeba </w:t>
      </w:r>
      <w:r w:rsidRPr="0043260A">
        <w:rPr>
          <w:rFonts w:cs="Times New Roman"/>
        </w:rPr>
        <w:t>przewiezienia sprzętu wózkami do części stanowisk.</w:t>
      </w:r>
    </w:p>
    <w:p w:rsidR="008868ED" w:rsidRPr="0043260A" w:rsidRDefault="008868ED" w:rsidP="008868ED">
      <w:pPr>
        <w:ind w:firstLine="708"/>
        <w:jc w:val="both"/>
        <w:rPr>
          <w:color w:val="000000"/>
        </w:rPr>
      </w:pPr>
      <w:r w:rsidRPr="0043260A">
        <w:rPr>
          <w:color w:val="000000"/>
        </w:rPr>
        <w:t xml:space="preserve">Uczestnicy zawodów są zobowiązani do przebywania w miejscu zakończenia zawodów do czasu oficjalnego ogłoszenia wyników i uroczystego zakończenia zawodów. Nieusprawiedliwiona nieobecność na ceremonii zakończenia zawodów może skutkować weryfikacją wyników. </w:t>
      </w:r>
    </w:p>
    <w:p w:rsidR="00054648" w:rsidRPr="0043260A" w:rsidRDefault="00054648" w:rsidP="0043260A">
      <w:pPr>
        <w:ind w:firstLine="708"/>
        <w:jc w:val="both"/>
        <w:rPr>
          <w:color w:val="000000"/>
        </w:rPr>
      </w:pPr>
      <w:r w:rsidRPr="0043260A">
        <w:rPr>
          <w:color w:val="000000"/>
        </w:rPr>
        <w:t xml:space="preserve">Informujemy, że </w:t>
      </w:r>
      <w:r w:rsidR="0043260A" w:rsidRPr="0043260A">
        <w:rPr>
          <w:color w:val="000000"/>
        </w:rPr>
        <w:t xml:space="preserve">w dniach 14-16.04.2016 r. w rejonie zbiornika Wykrot zostaną anulowane zakazy ruchu w obu kierunkach, z wyłączeniem zapory czołowej zbiornika, gdzie zakazy będą nadal obowiązywać. Jednocześnie informujemy, że nie ma możliwości poruszania się pojazdami mechanicznymi w rejonie, gdzie zlokalizowane są chodniki przeznaczone do ruchu pieszego oraz plaży. Jednocześnie informujemy zawodników, że może zaistnieć potrzeba podkoszenia części stanowiska (dotyczy wody), w związku z tym informujemy, aby zwodnicy zabrali ze sobą sprzęt do podkaszania.    </w:t>
      </w:r>
    </w:p>
    <w:p w:rsidR="008868ED" w:rsidRDefault="008868ED" w:rsidP="008868ED">
      <w:pPr>
        <w:jc w:val="both"/>
        <w:rPr>
          <w:b/>
          <w:color w:val="000000"/>
        </w:rPr>
      </w:pPr>
    </w:p>
    <w:p w:rsidR="008868ED" w:rsidRDefault="008868ED" w:rsidP="008868ED">
      <w:pPr>
        <w:pStyle w:val="Tekstpodstawowy"/>
        <w:spacing w:after="57"/>
        <w:jc w:val="center"/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>PROGRAM I ZAWODÓW SPŁAWIKOWYCH w dniu 03.04.2016 r.</w:t>
      </w:r>
    </w:p>
    <w:tbl>
      <w:tblPr>
        <w:tblW w:w="99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5"/>
        <w:gridCol w:w="1930"/>
        <w:gridCol w:w="5219"/>
        <w:gridCol w:w="2111"/>
      </w:tblGrid>
      <w:tr w:rsidR="008868ED" w:rsidTr="008868ED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Czas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Przedsięwzięcie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Uczestnicy</w:t>
            </w: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152972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06.00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Przybycie sędziów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152972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06.30 – 07.00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Przybycie uczestników do miejsca zbiórki (sektory).</w:t>
            </w:r>
          </w:p>
          <w:p w:rsidR="008868ED" w:rsidRDefault="008868ED" w:rsidP="002972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udziału w </w:t>
            </w:r>
            <w:r w:rsidRPr="00152972">
              <w:rPr>
                <w:color w:val="000000"/>
                <w:sz w:val="20"/>
                <w:szCs w:val="20"/>
              </w:rPr>
              <w:t>zawodach u sędziów sektorowych.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</w:t>
            </w:r>
          </w:p>
        </w:tc>
      </w:tr>
      <w:tr w:rsidR="008868ED" w:rsidTr="008868ED"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CF7F13" w:rsidRDefault="008868ED" w:rsidP="002972A5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442033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42033">
              <w:rPr>
                <w:color w:val="000000"/>
                <w:sz w:val="20"/>
                <w:szCs w:val="20"/>
              </w:rPr>
              <w:t>07.00</w:t>
            </w:r>
            <w:r>
              <w:rPr>
                <w:color w:val="000000"/>
                <w:sz w:val="20"/>
                <w:szCs w:val="20"/>
              </w:rPr>
              <w:t>-7.15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Odprawa techniczna z zawodnikami w sektorach. Sprawy organizacyjne.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07.15 - 07.30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152972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Losowanie stanowisk, w miejscu zbiórki.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8907B1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907B1">
              <w:rPr>
                <w:color w:val="000000"/>
                <w:sz w:val="20"/>
                <w:szCs w:val="20"/>
              </w:rPr>
              <w:t>Przemieszczenie zawodników przed wylosowane stanowiska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Pierwszy sygnał</w:t>
            </w:r>
            <w:r>
              <w:rPr>
                <w:sz w:val="20"/>
                <w:szCs w:val="20"/>
              </w:rPr>
              <w:t xml:space="preserve"> - wejście na stanowiska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8868ED" w:rsidTr="008868ED">
        <w:trPr>
          <w:trHeight w:val="6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Drugi sygnał</w:t>
            </w:r>
            <w:r>
              <w:rPr>
                <w:sz w:val="20"/>
                <w:szCs w:val="20"/>
              </w:rPr>
              <w:t xml:space="preserve"> - na 5 min. przed rozpoczęciem kontroli zanęt i przynęt. </w:t>
            </w:r>
          </w:p>
          <w:p w:rsidR="008868ED" w:rsidRPr="00833A60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>Trzeci sygnał</w:t>
            </w:r>
            <w:r>
              <w:rPr>
                <w:sz w:val="20"/>
                <w:szCs w:val="20"/>
              </w:rPr>
              <w:t xml:space="preserve"> – </w:t>
            </w:r>
            <w:r w:rsidRPr="00442033">
              <w:rPr>
                <w:color w:val="000000"/>
                <w:sz w:val="20"/>
                <w:szCs w:val="20"/>
              </w:rPr>
              <w:t>Nęcenie zanętą ciężką</w:t>
            </w:r>
            <w:r w:rsidRPr="008907B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8868ED" w:rsidTr="008868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Czwarty sygnał – </w:t>
            </w:r>
            <w:r w:rsidRPr="00442033">
              <w:rPr>
                <w:sz w:val="20"/>
                <w:szCs w:val="20"/>
              </w:rPr>
              <w:t>rozpoczęcie zawodów.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8868ED" w:rsidTr="008868ED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134EAE" w:rsidRDefault="008868ED" w:rsidP="002972A5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 i juniorów</w:t>
            </w:r>
            <w:r>
              <w:rPr>
                <w:sz w:val="20"/>
                <w:szCs w:val="20"/>
              </w:rPr>
              <w:t>, kadetów</w:t>
            </w:r>
          </w:p>
          <w:p w:rsidR="008868ED" w:rsidRPr="008907B1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Piąty sygnał</w:t>
            </w:r>
            <w:r>
              <w:rPr>
                <w:sz w:val="20"/>
                <w:szCs w:val="20"/>
              </w:rPr>
              <w:t xml:space="preserve"> – pozostało 5 min. do zakończenia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134EAE" w:rsidRDefault="008868ED" w:rsidP="002972A5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>
              <w:rPr>
                <w:sz w:val="20"/>
                <w:szCs w:val="20"/>
              </w:rPr>
              <w:t xml:space="preserve"> i U23</w:t>
            </w:r>
          </w:p>
          <w:p w:rsidR="008868ED" w:rsidRPr="008907B1" w:rsidRDefault="008868ED" w:rsidP="002972A5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134EAE" w:rsidRDefault="008868ED" w:rsidP="002972A5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 xml:space="preserve">kat. </w:t>
            </w:r>
            <w:r w:rsidRPr="00134EAE">
              <w:rPr>
                <w:sz w:val="20"/>
                <w:szCs w:val="20"/>
              </w:rPr>
              <w:t>K</w:t>
            </w:r>
            <w:r w:rsidRPr="00134EAE">
              <w:rPr>
                <w:sz w:val="20"/>
                <w:szCs w:val="20"/>
              </w:rPr>
              <w:t>obiet</w:t>
            </w:r>
            <w:r>
              <w:rPr>
                <w:sz w:val="20"/>
                <w:szCs w:val="20"/>
              </w:rPr>
              <w:t>, kadetów</w:t>
            </w:r>
            <w:r w:rsidRPr="00134EAE">
              <w:rPr>
                <w:sz w:val="20"/>
                <w:szCs w:val="20"/>
              </w:rPr>
              <w:t xml:space="preserve"> i juniorów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13.0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Szósty sygnał – </w:t>
            </w:r>
            <w:r w:rsidRPr="00442033">
              <w:rPr>
                <w:sz w:val="20"/>
                <w:szCs w:val="20"/>
              </w:rPr>
              <w:t>zakończenie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pStyle w:val="Akapitzlist"/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Pr="00134EAE" w:rsidRDefault="008868ED" w:rsidP="002972A5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>
              <w:rPr>
                <w:sz w:val="20"/>
                <w:szCs w:val="20"/>
              </w:rPr>
              <w:t xml:space="preserve"> i U23</w:t>
            </w:r>
            <w:r w:rsidRPr="00134E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868ED" w:rsidTr="008868ED">
        <w:trPr>
          <w:trHeight w:val="7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2972A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~15.30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8ED" w:rsidRDefault="008868ED" w:rsidP="008868E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Oficjalne ogłoszenie wyników zawodów, , dekoracja zwycięzców zawodów, zakończenie zawodów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8ED" w:rsidRDefault="008868ED" w:rsidP="002972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towarzyszące.</w:t>
            </w:r>
          </w:p>
        </w:tc>
      </w:tr>
    </w:tbl>
    <w:p w:rsidR="00E20654" w:rsidRDefault="00E20654" w:rsidP="0043260A">
      <w:bookmarkStart w:id="0" w:name="_GoBack"/>
      <w:bookmarkEnd w:id="0"/>
    </w:p>
    <w:sectPr w:rsidR="00E20654" w:rsidSect="0065362C">
      <w:pgSz w:w="11905" w:h="16837"/>
      <w:pgMar w:top="1077" w:right="1418" w:bottom="993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D"/>
    <w:rsid w:val="00054648"/>
    <w:rsid w:val="0043260A"/>
    <w:rsid w:val="00867ABE"/>
    <w:rsid w:val="008868ED"/>
    <w:rsid w:val="00E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E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68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68E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8868ED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8868ED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8868ED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68E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E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68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68E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8868ED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8868ED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8868ED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68E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49EC-018F-489F-A5F1-3C09A304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2016-04-13T08:07:00Z</dcterms:created>
  <dcterms:modified xsi:type="dcterms:W3CDTF">2016-04-13T08:46:00Z</dcterms:modified>
</cp:coreProperties>
</file>